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427"/>
        <w:rPr>
          <w:rFonts w:ascii="Arial" w:hAnsi="Arial" w:cs="Arial"/>
          <w:b/>
          <w:color w:val="0D0D0D"/>
          <w:sz w:val="30"/>
          <w:szCs w:val="30"/>
          <w:lang w:val="it-CH"/>
        </w:rPr>
      </w:pPr>
      <w:r>
        <w:rPr>
          <w:rFonts w:ascii="Arial" w:hAnsi="Arial" w:cs="Arial"/>
          <w:b/>
          <w:color w:val="0D0D0D"/>
          <w:sz w:val="30"/>
          <w:szCs w:val="30"/>
          <w:lang w:val="it-CH"/>
        </w:rPr>
        <w:t>Punti oggetto di discussione in seno all’Amministrazione federale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spacing w:after="120" w:line="240" w:lineRule="atLeast"/>
        <w:ind w:right="-427"/>
        <w:rPr>
          <w:rFonts w:ascii="Arial" w:hAnsi="Arial" w:cs="Arial"/>
          <w:color w:val="0D0D0D"/>
          <w:szCs w:val="20"/>
          <w:lang w:val="it-CH"/>
        </w:rPr>
      </w:pPr>
      <w:r>
        <w:rPr>
          <w:rFonts w:ascii="Arial" w:hAnsi="Arial" w:cs="Arial"/>
          <w:color w:val="0D0D0D"/>
          <w:szCs w:val="20"/>
          <w:lang w:val="it-CH"/>
        </w:rPr>
        <w:t>Vi preghiamo di esprimere un parere in merito alle seguenti domande. I temi sollevati costituiscono questioni fondamentali che sono state formulate e discusse nel quadro della consultazione degli Uffici della Confederazione. Le osservazioni o le motivazioni possono essere inserite negli appositi spazi.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numPr>
          <w:ilvl w:val="0"/>
          <w:numId w:val="1"/>
        </w:numPr>
        <w:tabs>
          <w:tab w:val="right" w:pos="567"/>
        </w:tabs>
        <w:spacing w:before="80" w:after="80"/>
        <w:ind w:left="567" w:right="-427" w:hanging="567"/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</w:pP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t>Come giudicate la struttura dell’avamprogetto (concezione / impostazione)?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i/>
          <w:color w:val="auto"/>
          <w:kern w:val="20"/>
          <w:szCs w:val="20"/>
          <w:lang w:val="it-CH" w:eastAsia="de-DE"/>
        </w:rPr>
      </w:pPr>
      <w:r>
        <w:rPr>
          <w:rFonts w:ascii="Arial" w:hAnsi="Arial" w:cs="Arial"/>
          <w:i/>
          <w:color w:val="auto"/>
          <w:kern w:val="20"/>
          <w:szCs w:val="20"/>
          <w:u w:val="single"/>
          <w:lang w:val="it-CH" w:eastAsia="de-DE"/>
        </w:rPr>
        <w:t>L’AP-LAPub si applica alle commesse pubbliche all</w:t>
      </w:r>
      <w:r>
        <w:rPr>
          <w:rFonts w:ascii="Arial" w:hAnsi="Arial" w:cs="Arial"/>
          <w:i/>
          <w:color w:val="auto"/>
          <w:szCs w:val="20"/>
          <w:u w:val="single"/>
          <w:lang w:val="it-CH"/>
        </w:rPr>
        <w:t>’interno e all’esterno del</w:t>
      </w:r>
      <w:r>
        <w:rPr>
          <w:rFonts w:ascii="Arial" w:hAnsi="Arial" w:cs="Arial"/>
          <w:i/>
          <w:color w:val="auto"/>
          <w:kern w:val="20"/>
          <w:szCs w:val="20"/>
          <w:u w:val="single"/>
          <w:lang w:val="it-CH" w:eastAsia="de-DE"/>
        </w:rPr>
        <w:t xml:space="preserve"> settore dei trattati internazionali (art. 3 AP-LAPub). Internamente alla Confederazione è stato proposto il seguente approccio alternativo:</w:t>
      </w:r>
      <w:r>
        <w:rPr>
          <w:rFonts w:ascii="Arial" w:hAnsi="Arial" w:cs="Arial"/>
          <w:i/>
          <w:color w:val="auto"/>
          <w:kern w:val="20"/>
          <w:szCs w:val="20"/>
          <w:lang w:val="it-CH" w:eastAsia="de-DE"/>
        </w:rPr>
        <w:t xml:space="preserve"> si rinuncia a una distinzione tra le commesse all</w:t>
      </w:r>
      <w:r>
        <w:rPr>
          <w:rFonts w:ascii="Arial" w:hAnsi="Arial" w:cs="Arial"/>
          <w:i/>
          <w:color w:val="auto"/>
          <w:szCs w:val="20"/>
          <w:lang w:val="it-CH"/>
        </w:rPr>
        <w:t>’</w:t>
      </w:r>
      <w:r>
        <w:rPr>
          <w:rFonts w:ascii="Arial" w:hAnsi="Arial" w:cs="Arial"/>
          <w:i/>
          <w:color w:val="auto"/>
          <w:szCs w:val="20"/>
          <w:lang w:val="it-CH"/>
        </w:rPr>
        <w:t>interno del</w:t>
      </w:r>
      <w:r>
        <w:rPr>
          <w:rFonts w:ascii="Arial" w:hAnsi="Arial" w:cs="Arial"/>
          <w:i/>
          <w:color w:val="auto"/>
          <w:kern w:val="20"/>
          <w:szCs w:val="20"/>
          <w:lang w:val="it-CH" w:eastAsia="de-DE"/>
        </w:rPr>
        <w:t xml:space="preserve"> settore dei trattati internazionali e le commesse </w:t>
      </w:r>
      <w:r>
        <w:rPr>
          <w:rFonts w:ascii="Arial" w:hAnsi="Arial" w:cs="Arial"/>
          <w:i/>
          <w:color w:val="auto"/>
          <w:szCs w:val="20"/>
          <w:lang w:val="it-CH"/>
        </w:rPr>
        <w:t>all’esterno del</w:t>
      </w:r>
      <w:r>
        <w:rPr>
          <w:rFonts w:ascii="Arial" w:hAnsi="Arial" w:cs="Arial"/>
          <w:i/>
          <w:color w:val="auto"/>
          <w:kern w:val="20"/>
          <w:szCs w:val="20"/>
          <w:lang w:val="it-CH" w:eastAsia="de-DE"/>
        </w:rPr>
        <w:t xml:space="preserve"> settore dei trattati internazionali. Tutti gli appalti sono in linea di principio assoggettati alla legge. Se i beni o le prestazioni di servizio non figurano negli allegati o se gli appalti non raggiungono i valori soglia richiesti, si applicano procedure «privilegiate» in determinati ambiti (ad es. termini più brevi, nessuna pubblicazione della singola aggiudicazione, procedura semplice e rapida per quanto concerne la protezione giuridica ecc.). Si noti che tale approccio concerne unicamente gli aspetti formali degli avamprogetti (concezione / struttura) e non comporta modifiche materiali. 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Buona</w:t>
      </w:r>
    </w:p>
    <w:p>
      <w:pPr>
        <w:tabs>
          <w:tab w:val="left" w:pos="40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Soddisfacente</w:t>
      </w:r>
    </w:p>
    <w:p>
      <w:pPr>
        <w:tabs>
          <w:tab w:val="left" w:pos="40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Insoddisfacente (</w:t>
      </w:r>
      <w:r>
        <w:rPr>
          <w:rFonts w:ascii="Arial" w:hAnsi="Arial" w:cs="Arial"/>
          <w:i/>
          <w:color w:val="auto"/>
          <w:szCs w:val="20"/>
          <w:lang w:val="it-CH"/>
        </w:rPr>
        <w:t>motivare la risposta</w:t>
      </w:r>
      <w:r>
        <w:rPr>
          <w:rFonts w:ascii="Arial" w:hAnsi="Arial" w:cs="Arial"/>
          <w:color w:val="auto"/>
          <w:szCs w:val="20"/>
          <w:lang w:val="it-CH"/>
        </w:rPr>
        <w:t>)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Cs w:val="20"/>
          <w:lang w:val="it-CH"/>
        </w:rPr>
      </w:pPr>
    </w:p>
    <w:p>
      <w:pPr>
        <w:spacing w:line="360" w:lineRule="auto"/>
        <w:ind w:left="116"/>
        <w:rPr>
          <w:rFonts w:ascii="Arial" w:hAnsi="Arial" w:cs="Arial"/>
          <w:color w:val="auto"/>
          <w:szCs w:val="20"/>
          <w:u w:val="single"/>
          <w:lang w:val="it-CH"/>
        </w:rPr>
      </w:pPr>
      <w:r>
        <w:rPr>
          <w:rFonts w:ascii="Arial" w:hAnsi="Arial" w:cs="Arial"/>
          <w:color w:val="auto"/>
          <w:szCs w:val="20"/>
          <w:u w:val="single"/>
          <w:lang w:val="it-CH"/>
        </w:rPr>
        <w:t>Approccio alternativo</w:t>
      </w:r>
    </w:p>
    <w:p>
      <w:pPr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Riteniamo opportuno prendere in considerazione l’adeguamento concettuale proposto</w:t>
      </w:r>
    </w:p>
    <w:p>
      <w:pPr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Preferiamo attenerci alla struttura degli avamprogetti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color w:val="auto"/>
          <w:sz w:val="18"/>
          <w:szCs w:val="18"/>
        </w:rPr>
        <w:t>Osservazioni / motivazione:</w:t>
      </w:r>
    </w:p>
    <w:p>
      <w:pPr>
        <w:spacing w:line="260" w:lineRule="atLeast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br w:type="page"/>
      </w:r>
    </w:p>
    <w:p>
      <w:pPr>
        <w:numPr>
          <w:ilvl w:val="0"/>
          <w:numId w:val="1"/>
        </w:numPr>
        <w:tabs>
          <w:tab w:val="right" w:pos="567"/>
        </w:tabs>
        <w:spacing w:before="80" w:after="80"/>
        <w:ind w:left="567" w:right="-427" w:hanging="567"/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</w:pP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lastRenderedPageBreak/>
        <w:t>Come giudicate la comprensibilità dell’avamprogetto (definizioni / terminologia / formulazioni)?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Buona</w:t>
      </w: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Soddisfacente</w:t>
      </w: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Insoddisfacente (</w:t>
      </w:r>
      <w:r>
        <w:rPr>
          <w:rFonts w:ascii="Arial" w:hAnsi="Arial" w:cs="Arial"/>
          <w:i/>
          <w:color w:val="auto"/>
          <w:szCs w:val="20"/>
          <w:lang w:val="it-CH"/>
        </w:rPr>
        <w:t>motivare la risposta</w:t>
      </w:r>
      <w:r>
        <w:rPr>
          <w:rFonts w:ascii="Arial" w:hAnsi="Arial" w:cs="Arial"/>
          <w:color w:val="auto"/>
          <w:szCs w:val="20"/>
          <w:lang w:val="it-CH"/>
        </w:rPr>
        <w:t>)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spacing w:line="240" w:lineRule="auto"/>
        <w:ind w:left="116"/>
        <w:rPr>
          <w:rFonts w:ascii="Arial" w:hAnsi="Arial" w:cs="Arial"/>
          <w:b/>
          <w:color w:val="auto"/>
          <w:sz w:val="18"/>
          <w:szCs w:val="18"/>
          <w:lang w:val="it-CH"/>
        </w:rPr>
      </w:pPr>
      <w:r>
        <w:rPr>
          <w:rFonts w:ascii="Arial" w:hAnsi="Arial" w:cs="Arial"/>
          <w:b/>
          <w:color w:val="auto"/>
          <w:sz w:val="18"/>
          <w:szCs w:val="18"/>
          <w:lang w:val="it-CH"/>
        </w:rPr>
        <w:t>Osservazioni / motivazione: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567"/>
          <w:tab w:val="left" w:pos="7415"/>
        </w:tabs>
        <w:ind w:left="567" w:right="-427" w:hanging="567"/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</w:pP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t>3a.</w:t>
      </w: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tab/>
        <w:t>Siete d’accordo con il fatto che, in futuro, secondo l’articolo 54 AP-LAPub, la protezione giuridica sarà prevista già a partire da un valore della commessa di 150 000 franchi?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567"/>
          <w:tab w:val="left" w:pos="7415"/>
        </w:tabs>
        <w:ind w:left="567" w:right="-427" w:hanging="567"/>
        <w:rPr>
          <w:rFonts w:ascii="Arial" w:hAnsi="Arial" w:cs="Arial"/>
          <w:i/>
          <w:color w:val="auto"/>
          <w:kern w:val="20"/>
          <w:szCs w:val="20"/>
          <w:lang w:val="it-CH" w:eastAsia="de-DE"/>
        </w:rPr>
      </w:pPr>
      <w:r>
        <w:rPr>
          <w:rFonts w:ascii="Arial" w:hAnsi="Arial" w:cs="Arial"/>
          <w:i/>
          <w:color w:val="auto"/>
          <w:kern w:val="20"/>
          <w:szCs w:val="20"/>
          <w:lang w:val="it-CH" w:eastAsia="de-DE"/>
        </w:rPr>
        <w:tab/>
      </w:r>
      <w:r>
        <w:rPr>
          <w:rFonts w:ascii="Arial" w:hAnsi="Arial" w:cs="Arial"/>
          <w:i/>
          <w:color w:val="auto"/>
          <w:kern w:val="20"/>
          <w:szCs w:val="20"/>
          <w:u w:val="single"/>
          <w:lang w:val="it-CH" w:eastAsia="de-DE"/>
        </w:rPr>
        <w:t>Nota:</w:t>
      </w:r>
      <w:r>
        <w:rPr>
          <w:rFonts w:ascii="Arial" w:hAnsi="Arial" w:cs="Arial"/>
          <w:i/>
          <w:color w:val="auto"/>
          <w:kern w:val="20"/>
          <w:szCs w:val="20"/>
          <w:lang w:val="it-CH" w:eastAsia="de-DE"/>
        </w:rPr>
        <w:t xml:space="preserve"> I valori soglia determinanti per la scelta della procedura di aggiudicazione non sono interessati dall’estensione della protezione giuridica. 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Approviamo l’estensione della protezione giuridica</w:t>
      </w: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Manteniamo una posizione neutrale rispetto a questa tematica</w:t>
      </w:r>
    </w:p>
    <w:p>
      <w:pPr>
        <w:tabs>
          <w:tab w:val="left" w:pos="380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Siamo contrari all’estensione della protezione giuridica (</w:t>
      </w:r>
      <w:r>
        <w:rPr>
          <w:rFonts w:ascii="Arial" w:hAnsi="Arial" w:cs="Arial"/>
          <w:i/>
          <w:color w:val="auto"/>
          <w:szCs w:val="20"/>
          <w:lang w:val="it-CH"/>
        </w:rPr>
        <w:t>motivare la risposta</w:t>
      </w:r>
      <w:r>
        <w:rPr>
          <w:rFonts w:ascii="Arial" w:hAnsi="Arial" w:cs="Arial"/>
          <w:color w:val="auto"/>
          <w:szCs w:val="20"/>
          <w:lang w:val="it-CH"/>
        </w:rPr>
        <w:t>)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spacing w:line="240" w:lineRule="auto"/>
        <w:ind w:left="116"/>
        <w:rPr>
          <w:rFonts w:ascii="Arial" w:hAnsi="Arial" w:cs="Arial"/>
          <w:b/>
          <w:color w:val="auto"/>
          <w:sz w:val="18"/>
          <w:szCs w:val="18"/>
          <w:lang w:val="it-CH"/>
        </w:rPr>
      </w:pPr>
      <w:r>
        <w:rPr>
          <w:rFonts w:ascii="Arial" w:hAnsi="Arial" w:cs="Arial"/>
          <w:b/>
          <w:color w:val="auto"/>
          <w:sz w:val="18"/>
          <w:szCs w:val="18"/>
          <w:lang w:val="it-CH"/>
        </w:rPr>
        <w:t>Osservazioni / motivazione:</w:t>
      </w:r>
    </w:p>
    <w:p>
      <w:pPr>
        <w:spacing w:line="260" w:lineRule="atLeast"/>
        <w:rPr>
          <w:rFonts w:ascii="Arial" w:hAnsi="Arial" w:cs="Arial"/>
          <w:color w:val="0D0D0D"/>
          <w:sz w:val="24"/>
          <w:szCs w:val="24"/>
          <w:lang w:val="it-CH"/>
        </w:rPr>
      </w:pPr>
      <w:r>
        <w:rPr>
          <w:rFonts w:ascii="Arial" w:hAnsi="Arial" w:cs="Arial"/>
          <w:color w:val="0D0D0D"/>
          <w:sz w:val="24"/>
          <w:szCs w:val="24"/>
          <w:lang w:val="it-CH"/>
        </w:rPr>
        <w:br w:type="page"/>
      </w:r>
    </w:p>
    <w:p>
      <w:pPr>
        <w:tabs>
          <w:tab w:val="left" w:pos="567"/>
          <w:tab w:val="left" w:pos="7415"/>
        </w:tabs>
        <w:ind w:left="567" w:right="-427" w:hanging="567"/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</w:pP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lastRenderedPageBreak/>
        <w:t>3b.</w:t>
      </w: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tab/>
        <w:t>Come valutate le ripercussioni dell’estensione della protezione giuridica di cui all’articolo 54 AP-LAPub sul numero di ricorsi?</w:t>
      </w: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</w:pP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Nel complesso neutre</w:t>
      </w: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Minime</w:t>
      </w: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Rilevanti (</w:t>
      </w:r>
      <w:r>
        <w:rPr>
          <w:rFonts w:ascii="Arial" w:hAnsi="Arial" w:cs="Arial"/>
          <w:i/>
          <w:color w:val="auto"/>
          <w:szCs w:val="20"/>
          <w:lang w:val="it-CH"/>
        </w:rPr>
        <w:t>motivare la risposta</w:t>
      </w:r>
      <w:r>
        <w:rPr>
          <w:rFonts w:ascii="Arial" w:hAnsi="Arial" w:cs="Arial"/>
          <w:color w:val="auto"/>
          <w:szCs w:val="20"/>
          <w:lang w:val="it-CH"/>
        </w:rPr>
        <w:t>)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spacing w:line="240" w:lineRule="auto"/>
        <w:ind w:left="116"/>
        <w:rPr>
          <w:rFonts w:ascii="Arial" w:hAnsi="Arial" w:cs="Arial"/>
          <w:b/>
          <w:color w:val="auto"/>
          <w:sz w:val="18"/>
          <w:szCs w:val="18"/>
          <w:lang w:val="it-CH"/>
        </w:rPr>
      </w:pPr>
      <w:r>
        <w:rPr>
          <w:rFonts w:ascii="Arial" w:hAnsi="Arial" w:cs="Arial"/>
          <w:b/>
          <w:color w:val="auto"/>
          <w:sz w:val="18"/>
          <w:szCs w:val="18"/>
          <w:lang w:val="it-CH"/>
        </w:rPr>
        <w:t>Osservazioni / motivazione: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567"/>
          <w:tab w:val="left" w:pos="7415"/>
        </w:tabs>
        <w:ind w:left="567" w:right="-427" w:hanging="567"/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</w:pP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t>4.</w:t>
      </w: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tab/>
        <w:t xml:space="preserve">A vostro parere quali ripercussioni avrà l’avamprogetto sull’onere delle imprese / delle organizzazioni offerenti (onere legato alla documentazione / mole di lavoro, onere finanziario e spese per il personale)? 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L’onere delle imprese diminuirà</w:t>
      </w: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L’onere rimarrà pressoché stabile</w:t>
      </w: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L’onere aumenterà leggermente</w:t>
      </w:r>
    </w:p>
    <w:p>
      <w:pPr>
        <w:tabs>
          <w:tab w:val="left" w:pos="380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L’onere aumenterà considerevolmente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spacing w:line="240" w:lineRule="auto"/>
        <w:ind w:left="116"/>
        <w:rPr>
          <w:rFonts w:ascii="Arial" w:hAnsi="Arial" w:cs="Arial"/>
          <w:b/>
          <w:color w:val="auto"/>
          <w:sz w:val="18"/>
          <w:szCs w:val="18"/>
          <w:lang w:val="it-CH"/>
        </w:rPr>
      </w:pPr>
      <w:r>
        <w:rPr>
          <w:rFonts w:ascii="Arial" w:hAnsi="Arial" w:cs="Arial"/>
          <w:b/>
          <w:color w:val="auto"/>
          <w:sz w:val="18"/>
          <w:szCs w:val="18"/>
          <w:lang w:val="it-CH"/>
        </w:rPr>
        <w:t>Osservazioni / motivazione:</w:t>
      </w:r>
    </w:p>
    <w:p>
      <w:pPr>
        <w:spacing w:line="260" w:lineRule="atLeast"/>
        <w:rPr>
          <w:rFonts w:ascii="Arial" w:hAnsi="Arial" w:cs="Arial"/>
          <w:color w:val="0D0D0D"/>
          <w:sz w:val="24"/>
          <w:szCs w:val="24"/>
          <w:lang w:val="it-CH"/>
        </w:rPr>
      </w:pPr>
      <w:r>
        <w:rPr>
          <w:rFonts w:ascii="Arial" w:hAnsi="Arial" w:cs="Arial"/>
          <w:color w:val="0D0D0D"/>
          <w:sz w:val="24"/>
          <w:szCs w:val="24"/>
          <w:lang w:val="it-CH"/>
        </w:rPr>
        <w:br w:type="page"/>
      </w:r>
    </w:p>
    <w:p>
      <w:pPr>
        <w:tabs>
          <w:tab w:val="left" w:pos="567"/>
          <w:tab w:val="left" w:pos="7415"/>
        </w:tabs>
        <w:ind w:left="567" w:right="-427" w:hanging="567"/>
        <w:rPr>
          <w:rFonts w:ascii="Arial" w:hAnsi="Arial" w:cs="Arial"/>
          <w:b/>
          <w:i/>
          <w:color w:val="0D0D0D"/>
          <w:sz w:val="24"/>
          <w:szCs w:val="24"/>
          <w:lang w:val="it-CH"/>
        </w:rPr>
      </w:pP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lastRenderedPageBreak/>
        <w:t>5.</w:t>
      </w: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tab/>
      </w:r>
      <w:r>
        <w:rPr>
          <w:rFonts w:ascii="Arial" w:hAnsi="Arial" w:cs="Arial"/>
          <w:b/>
          <w:i/>
          <w:color w:val="0D0D0D"/>
          <w:sz w:val="24"/>
          <w:szCs w:val="24"/>
          <w:lang w:val="it-CH"/>
        </w:rPr>
        <w:t>Preferite una regolamentazione del diritto di ricorso delle autorità nella LMI o nel CIAP (per ulteriori informazioni: cfr. art. 63 cpv. 2 AP-LAPub e il commento all’art. 63 cpv. 2)?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Preferiamo la variante che prevede il diritto di ricorso della COMCO nella LMI</w:t>
      </w:r>
    </w:p>
    <w:p>
      <w:pPr>
        <w:tabs>
          <w:tab w:val="left" w:pos="380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Preferiamo la variante che prevede il diritto di ricorso dell’OiAp nel CIAP</w:t>
      </w:r>
    </w:p>
    <w:p>
      <w:pPr>
        <w:tabs>
          <w:tab w:val="left" w:pos="380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Preferiamo la variante che prevede il diritto di ricorso della COMCO nel CIAP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spacing w:line="240" w:lineRule="auto"/>
        <w:ind w:left="116"/>
        <w:rPr>
          <w:rFonts w:ascii="Arial" w:hAnsi="Arial" w:cs="Arial"/>
          <w:b/>
          <w:color w:val="auto"/>
          <w:sz w:val="18"/>
          <w:szCs w:val="18"/>
          <w:lang w:val="it-CH"/>
        </w:rPr>
      </w:pPr>
      <w:r>
        <w:rPr>
          <w:rFonts w:ascii="Arial" w:hAnsi="Arial" w:cs="Arial"/>
          <w:b/>
          <w:color w:val="auto"/>
          <w:sz w:val="18"/>
          <w:szCs w:val="18"/>
          <w:lang w:val="it-CH"/>
        </w:rPr>
        <w:t>Osservazioni / motivazioni: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567"/>
          <w:tab w:val="left" w:pos="7415"/>
        </w:tabs>
        <w:ind w:left="567" w:right="-427" w:hanging="567"/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</w:pP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t>6.</w:t>
      </w: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tab/>
        <w:t>Come giudicate le disposizioni relative alle lingue della procedura contenute negli articoli 39 e 50 AP-LAPub e negli articoli 16 e 21 AP-OAPub? In particolare, come valutate il rapporto tra la promozione del plurilinguismo e i maggiori costi che dovrà sostenere lo Stato per l’esecuzione degli appalti pubblici in diverse lingue?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Buone/o</w:t>
      </w: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Soddisfacenti/e</w:t>
      </w: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Poco soddisfacenti/e (</w:t>
      </w:r>
      <w:r>
        <w:rPr>
          <w:rFonts w:ascii="Arial" w:hAnsi="Arial" w:cs="Arial"/>
          <w:i/>
          <w:color w:val="auto"/>
          <w:szCs w:val="20"/>
          <w:lang w:val="it-CH"/>
        </w:rPr>
        <w:t>motivare la risposta</w:t>
      </w:r>
      <w:r>
        <w:rPr>
          <w:rFonts w:ascii="Arial" w:hAnsi="Arial" w:cs="Arial"/>
          <w:color w:val="auto"/>
          <w:szCs w:val="20"/>
          <w:lang w:val="it-CH"/>
        </w:rPr>
        <w:t>)</w:t>
      </w:r>
    </w:p>
    <w:p>
      <w:pPr>
        <w:tabs>
          <w:tab w:val="left" w:pos="394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  <w:lang w:val="it-CH"/>
        </w:rPr>
        <w:tab/>
      </w: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Alla promozione del plurilinguismo non è stata data la dovuta considerazione</w:t>
      </w:r>
    </w:p>
    <w:p>
      <w:pPr>
        <w:tabs>
          <w:tab w:val="left" w:pos="380"/>
        </w:tabs>
        <w:spacing w:line="480" w:lineRule="auto"/>
        <w:ind w:left="11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  <w:lang w:val="it-CH"/>
        </w:rPr>
        <w:tab/>
      </w: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Le misure di promozione del plurilinguismo comportano costi amministrativi eccessivi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spacing w:line="240" w:lineRule="auto"/>
        <w:ind w:left="116"/>
        <w:rPr>
          <w:rFonts w:ascii="Arial" w:hAnsi="Arial" w:cs="Arial"/>
          <w:b/>
          <w:color w:val="auto"/>
          <w:sz w:val="18"/>
          <w:szCs w:val="18"/>
          <w:lang w:val="it-CH"/>
        </w:rPr>
      </w:pPr>
      <w:r>
        <w:rPr>
          <w:rFonts w:ascii="Arial" w:hAnsi="Arial" w:cs="Arial"/>
          <w:b/>
          <w:color w:val="auto"/>
          <w:sz w:val="18"/>
          <w:szCs w:val="18"/>
          <w:lang w:val="it-CH"/>
        </w:rPr>
        <w:t>Osservazioni / motivazione:</w:t>
      </w:r>
    </w:p>
    <w:p>
      <w:pPr>
        <w:spacing w:line="260" w:lineRule="atLeast"/>
        <w:rPr>
          <w:rFonts w:ascii="Arial" w:hAnsi="Arial" w:cs="Arial"/>
          <w:color w:val="0D0D0D"/>
          <w:sz w:val="24"/>
          <w:szCs w:val="24"/>
          <w:lang w:val="it-CH"/>
        </w:rPr>
      </w:pPr>
      <w:r>
        <w:rPr>
          <w:rFonts w:ascii="Arial" w:hAnsi="Arial" w:cs="Arial"/>
          <w:color w:val="0D0D0D"/>
          <w:sz w:val="24"/>
          <w:szCs w:val="24"/>
          <w:lang w:val="it-CH"/>
        </w:rPr>
        <w:br w:type="page"/>
      </w:r>
    </w:p>
    <w:p>
      <w:pPr>
        <w:tabs>
          <w:tab w:val="left" w:pos="567"/>
          <w:tab w:val="left" w:pos="7415"/>
        </w:tabs>
        <w:ind w:left="567" w:right="-427" w:hanging="567"/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</w:pP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lastRenderedPageBreak/>
        <w:t>7.</w:t>
      </w:r>
      <w:r>
        <w:rPr>
          <w:rFonts w:ascii="Arial" w:hAnsi="Arial" w:cs="Arial"/>
          <w:b/>
          <w:i/>
          <w:color w:val="auto"/>
          <w:kern w:val="20"/>
          <w:sz w:val="24"/>
          <w:szCs w:val="24"/>
          <w:lang w:val="it-CH" w:eastAsia="de-DE"/>
        </w:rPr>
        <w:tab/>
        <w:t>In relazione all’articolo 14 AP-LAPub si pone la questione di chiarire quali disposizioni in materia di tutela del lavoro e quali condizioni di lavoro debbano essere rispettate, vale a dire quelle vigenti nel luogo dove viene fornita la prestazione (cosiddetto principio del luogo della prestazione) o quelle vigenti nel luogo di sede o di stabilimento dell’offerente (cosiddetto principio del luogo di origine)? Nelle procedure di aggiudicazione della Confederazione a tutti gli offerenti si applica attualmente il principio del luogo della prestazione (cfr. art. 8 cpv. 1 lett. b LAPub). Nell’AP-LAPub viene proposto un allineamento alle prescrizioni vigenti a livello cantonale e comunale. D’ora in poi agli offerenti svizzeri dovrà essere applicato il cosiddetto principio del luogo di origine, mentre agli offerenti esteri continuerà a essere applicato il principio del luogo della prestazione. Siete d’accordo con questa proposta?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spacing w:line="480" w:lineRule="auto"/>
        <w:ind w:left="448" w:right="-144" w:hanging="306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Sì, per gli appalti della Confederazione agli offerenti residenti in Svizzera d’ora in avanti dovrà essere applicato il principio del luogo di </w:t>
      </w:r>
      <w:bookmarkStart w:id="0" w:name="_GoBack"/>
      <w:bookmarkEnd w:id="0"/>
      <w:r>
        <w:rPr>
          <w:rFonts w:ascii="Arial" w:hAnsi="Arial" w:cs="Arial"/>
          <w:color w:val="auto"/>
          <w:szCs w:val="20"/>
          <w:lang w:val="it-CH"/>
        </w:rPr>
        <w:t>origine (cfr. art. 14 cpv. 1 AP-LAPub)</w:t>
      </w:r>
    </w:p>
    <w:p>
      <w:pPr>
        <w:tabs>
          <w:tab w:val="left" w:pos="426"/>
        </w:tabs>
        <w:spacing w:line="480" w:lineRule="auto"/>
        <w:ind w:left="116" w:right="-144"/>
        <w:rPr>
          <w:rFonts w:ascii="Arial" w:hAnsi="Arial" w:cs="Arial"/>
          <w:color w:val="auto"/>
          <w:szCs w:val="20"/>
          <w:lang w:val="it-CH"/>
        </w:rPr>
      </w:pPr>
      <w:r>
        <w:rPr>
          <w:rFonts w:ascii="Arial" w:hAnsi="Arial" w:cs="Arial"/>
          <w:color w:val="auto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0"/>
          <w:lang w:val="it-CH"/>
        </w:rPr>
        <w:instrText xml:space="preserve"> FORMCHECKBOX </w:instrText>
      </w:r>
      <w:r>
        <w:rPr>
          <w:rFonts w:ascii="Arial" w:hAnsi="Arial" w:cs="Arial"/>
          <w:color w:val="auto"/>
          <w:szCs w:val="20"/>
        </w:rPr>
      </w:r>
      <w:r>
        <w:rPr>
          <w:rFonts w:ascii="Arial" w:hAnsi="Arial" w:cs="Arial"/>
          <w:color w:val="auto"/>
          <w:szCs w:val="20"/>
        </w:rPr>
        <w:fldChar w:fldCharType="separate"/>
      </w:r>
      <w:r>
        <w:rPr>
          <w:rFonts w:ascii="Arial" w:hAnsi="Arial" w:cs="Arial"/>
          <w:color w:val="auto"/>
          <w:szCs w:val="20"/>
        </w:rPr>
        <w:fldChar w:fldCharType="end"/>
      </w:r>
      <w:r>
        <w:rPr>
          <w:rFonts w:ascii="Arial" w:hAnsi="Arial" w:cs="Arial"/>
          <w:color w:val="auto"/>
          <w:szCs w:val="20"/>
          <w:lang w:val="it-CH"/>
        </w:rPr>
        <w:t xml:space="preserve"> No, per gli appalti della Confederazione a tutti gli offerenti dovrà continuare a essere applicato il principio del luogo della prestazione (cfr. </w:t>
      </w:r>
      <w:r>
        <w:rPr>
          <w:rFonts w:ascii="Arial" w:hAnsi="Arial" w:cs="Arial"/>
          <w:color w:val="auto"/>
          <w:szCs w:val="20"/>
          <w:lang w:val="it-CH"/>
        </w:rPr>
        <w:tab/>
        <w:t>art. 8 cpv. 1 lett. b LAPub)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  <w:lang w:val="it-CH"/>
        </w:rPr>
      </w:pPr>
    </w:p>
    <w:p>
      <w:pPr>
        <w:spacing w:line="240" w:lineRule="auto"/>
        <w:ind w:left="116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Osservazioni / motivazione:</w:t>
      </w:r>
    </w:p>
    <w:p>
      <w:pPr>
        <w:tabs>
          <w:tab w:val="left" w:pos="7415"/>
        </w:tabs>
        <w:ind w:right="-427"/>
        <w:rPr>
          <w:rFonts w:ascii="Arial" w:hAnsi="Arial" w:cs="Arial"/>
          <w:color w:val="0D0D0D"/>
          <w:sz w:val="24"/>
          <w:szCs w:val="24"/>
        </w:rPr>
      </w:pPr>
    </w:p>
    <w:p>
      <w:pPr>
        <w:spacing w:line="260" w:lineRule="atLeast"/>
        <w:rPr>
          <w:rFonts w:ascii="Arial" w:hAnsi="Arial" w:cs="Arial"/>
          <w:color w:val="0D0D0D"/>
          <w:sz w:val="24"/>
          <w:szCs w:val="24"/>
        </w:rPr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985" w:right="2523" w:bottom="851" w:left="1701" w:header="964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/>
  <w:p>
    <w:pPr>
      <w:pStyle w:val="Pidipagina"/>
      <w:tabs>
        <w:tab w:val="center" w:pos="6946"/>
        <w:tab w:val="right" w:pos="12616"/>
        <w:tab w:val="right" w:pos="14601"/>
      </w:tabs>
      <w:ind w:right="-1987"/>
      <w:rPr>
        <w:rFonts w:ascii="Arial" w:hAnsi="Arial" w:cs="Arial"/>
        <w:sz w:val="20"/>
        <w:szCs w:val="20"/>
      </w:rPr>
    </w:pPr>
    <w:r>
      <w:tab/>
    </w:r>
    <w:r>
      <w:rPr>
        <w:rFonts w:ascii="Arial" w:hAnsi="Arial" w:cs="Arial"/>
        <w:sz w:val="24"/>
        <w:szCs w:val="24"/>
      </w:rPr>
      <w:t xml:space="preserve">-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5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-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0"/>
        <w:szCs w:val="20"/>
      </w:rPr>
      <w:t>Marzo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3682" w:type="dxa"/>
      <w:tblLook w:val="04A0" w:firstRow="1" w:lastRow="0" w:firstColumn="1" w:lastColumn="0" w:noHBand="0" w:noVBand="1"/>
    </w:tblPr>
    <w:tblGrid>
      <w:gridCol w:w="11590"/>
      <w:gridCol w:w="2092"/>
    </w:tblGrid>
    <w:tr>
      <w:tc>
        <w:tcPr>
          <w:tcW w:w="11590" w:type="dxa"/>
        </w:tcPr>
        <w:p>
          <w:pPr>
            <w:pStyle w:val="Pidipagina"/>
            <w:tabs>
              <w:tab w:val="left" w:pos="10830"/>
            </w:tabs>
            <w:rPr>
              <w:lang w:eastAsia="en-US"/>
            </w:rPr>
          </w:pPr>
        </w:p>
      </w:tc>
      <w:tc>
        <w:tcPr>
          <w:tcW w:w="2092" w:type="dxa"/>
        </w:tcPr>
        <w:p>
          <w:pPr>
            <w:pStyle w:val="DINBold65pt"/>
          </w:pPr>
        </w:p>
      </w:tc>
    </w:tr>
  </w:tbl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</w:pPr>
    <w:r>
      <w:rPr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6646334</wp:posOffset>
          </wp:positionH>
          <wp:positionV relativeFrom="paragraph">
            <wp:posOffset>-136101</wp:posOffset>
          </wp:positionV>
          <wp:extent cx="1837055" cy="604520"/>
          <wp:effectExtent l="0" t="0" r="0" b="5080"/>
          <wp:wrapTight wrapText="bothSides">
            <wp:wrapPolygon edited="0">
              <wp:start x="0" y="0"/>
              <wp:lineTo x="0" y="21101"/>
              <wp:lineTo x="21279" y="21101"/>
              <wp:lineTo x="21279" y="0"/>
              <wp:lineTo x="0" y="0"/>
            </wp:wrapPolygon>
          </wp:wrapTight>
          <wp:docPr id="1" name="Grafik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</w:pPr>
    <w:r>
      <w:rPr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6883400</wp:posOffset>
          </wp:positionH>
          <wp:positionV relativeFrom="paragraph">
            <wp:posOffset>-254635</wp:posOffset>
          </wp:positionV>
          <wp:extent cx="1837055" cy="604520"/>
          <wp:effectExtent l="0" t="0" r="0" b="5080"/>
          <wp:wrapTight wrapText="bothSides">
            <wp:wrapPolygon edited="0">
              <wp:start x="0" y="0"/>
              <wp:lineTo x="0" y="21101"/>
              <wp:lineTo x="21279" y="21101"/>
              <wp:lineTo x="21279" y="0"/>
              <wp:lineTo x="0" y="0"/>
            </wp:wrapPolygon>
          </wp:wrapTight>
          <wp:docPr id="2" name="Grafik 2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B6F48"/>
    <w:multiLevelType w:val="hybridMultilevel"/>
    <w:tmpl w:val="C5806498"/>
    <w:lvl w:ilvl="0" w:tplc="EAC8C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lvl w:ilvl="0" w:tplc="EAC8C3D4">
        <w:start w:val="1"/>
        <w:numFmt w:val="decimal"/>
        <w:lvlText w:val="%1.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8070019">
        <w:start w:val="1"/>
        <w:numFmt w:val="lowerLetter"/>
        <w:lvlText w:val="3%2."/>
        <w:lvlJc w:val="left"/>
        <w:pPr>
          <w:ind w:left="1222" w:hanging="360"/>
        </w:pPr>
        <w:rPr>
          <w:rFonts w:hint="default"/>
        </w:rPr>
      </w:lvl>
    </w:lvlOverride>
    <w:lvlOverride w:ilvl="2">
      <w:lvl w:ilvl="2" w:tplc="0807001B">
        <w:start w:val="1"/>
        <w:numFmt w:val="lowerRoman"/>
        <w:lvlText w:val="%3."/>
        <w:lvlJc w:val="right"/>
        <w:pPr>
          <w:ind w:left="1942" w:hanging="180"/>
        </w:pPr>
        <w:rPr>
          <w:rFonts w:hint="default"/>
        </w:rPr>
      </w:lvl>
    </w:lvlOverride>
    <w:lvlOverride w:ilvl="3">
      <w:lvl w:ilvl="3" w:tplc="0807000F">
        <w:start w:val="1"/>
        <w:numFmt w:val="decimal"/>
        <w:lvlText w:val="%4."/>
        <w:lvlJc w:val="left"/>
        <w:pPr>
          <w:ind w:left="2662" w:hanging="360"/>
        </w:pPr>
        <w:rPr>
          <w:rFonts w:hint="default"/>
        </w:rPr>
      </w:lvl>
    </w:lvlOverride>
    <w:lvlOverride w:ilvl="4">
      <w:lvl w:ilvl="4" w:tplc="08070019">
        <w:start w:val="1"/>
        <w:numFmt w:val="lowerLetter"/>
        <w:lvlText w:val="%5."/>
        <w:lvlJc w:val="left"/>
        <w:pPr>
          <w:ind w:left="3382" w:hanging="360"/>
        </w:pPr>
        <w:rPr>
          <w:rFonts w:hint="default"/>
        </w:rPr>
      </w:lvl>
    </w:lvlOverride>
    <w:lvlOverride w:ilvl="5">
      <w:lvl w:ilvl="5" w:tplc="0807001B">
        <w:start w:val="1"/>
        <w:numFmt w:val="lowerRoman"/>
        <w:lvlText w:val="%6."/>
        <w:lvlJc w:val="right"/>
        <w:pPr>
          <w:ind w:left="4102" w:hanging="180"/>
        </w:pPr>
        <w:rPr>
          <w:rFonts w:hint="default"/>
        </w:rPr>
      </w:lvl>
    </w:lvlOverride>
    <w:lvlOverride w:ilvl="6">
      <w:lvl w:ilvl="6" w:tplc="0807000F">
        <w:start w:val="1"/>
        <w:numFmt w:val="decimal"/>
        <w:lvlText w:val="%7."/>
        <w:lvlJc w:val="left"/>
        <w:pPr>
          <w:ind w:left="4822" w:hanging="360"/>
        </w:pPr>
        <w:rPr>
          <w:rFonts w:hint="default"/>
        </w:rPr>
      </w:lvl>
    </w:lvlOverride>
    <w:lvlOverride w:ilvl="7">
      <w:lvl w:ilvl="7" w:tplc="08070019">
        <w:start w:val="1"/>
        <w:numFmt w:val="lowerLetter"/>
        <w:lvlText w:val="%8."/>
        <w:lvlJc w:val="left"/>
        <w:pPr>
          <w:ind w:left="5542" w:hanging="360"/>
        </w:pPr>
        <w:rPr>
          <w:rFonts w:hint="default"/>
        </w:rPr>
      </w:lvl>
    </w:lvlOverride>
    <w:lvlOverride w:ilvl="8">
      <w:lvl w:ilvl="8" w:tplc="0807001B">
        <w:start w:val="1"/>
        <w:numFmt w:val="lowerRoman"/>
        <w:lvlText w:val="%9."/>
        <w:lvlJc w:val="right"/>
        <w:pPr>
          <w:ind w:left="6262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AB7A6C-9F9B-43B5-9FF9-7E7E51A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60" w:lineRule="exact"/>
    </w:pPr>
    <w:rPr>
      <w:rFonts w:ascii="DIN" w:eastAsia="Calibri" w:hAnsi="DIN" w:cs="Times New Roman"/>
      <w:color w:val="51515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suppressAutoHyphens/>
      <w:spacing w:line="160" w:lineRule="atLeast"/>
    </w:pPr>
    <w:rPr>
      <w:rFonts w:eastAsia="Times New Roman"/>
      <w:noProof/>
      <w:sz w:val="12"/>
      <w:lang w:eastAsia="de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Intestazione">
    <w:name w:val="header"/>
    <w:basedOn w:val="Normale"/>
    <w:link w:val="IntestazioneCarattere"/>
    <w:uiPriority w:val="99"/>
    <w:pPr>
      <w:suppressAutoHyphens/>
      <w:spacing w:line="200" w:lineRule="atLeast"/>
    </w:pPr>
    <w:rPr>
      <w:rFonts w:eastAsia="Times New Roman"/>
      <w:noProof/>
      <w:sz w:val="15"/>
      <w:lang w:eastAsia="de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Intestazione"/>
    <w:next w:val="Intestazione"/>
    <w:qFormat/>
    <w:pPr>
      <w:spacing w:after="80"/>
    </w:pPr>
  </w:style>
  <w:style w:type="paragraph" w:customStyle="1" w:styleId="KopfzeileFett">
    <w:name w:val="KopfzeileFett"/>
    <w:basedOn w:val="Intestazione"/>
    <w:next w:val="Intestazione"/>
    <w:qFormat/>
    <w:rPr>
      <w:b/>
    </w:rPr>
  </w:style>
  <w:style w:type="paragraph" w:customStyle="1" w:styleId="Referenz">
    <w:name w:val="Referenz"/>
    <w:basedOn w:val="Normale"/>
    <w:qFormat/>
    <w:pPr>
      <w:spacing w:line="200" w:lineRule="atLeast"/>
    </w:pPr>
    <w:rPr>
      <w:rFonts w:eastAsia="Times New Roman"/>
      <w:sz w:val="15"/>
      <w:lang w:eastAsia="de-CH"/>
    </w:rPr>
  </w:style>
  <w:style w:type="paragraph" w:customStyle="1" w:styleId="DINBold65pt">
    <w:name w:val="DIN Bold 6.5pt"/>
    <w:basedOn w:val="Normale"/>
    <w:qFormat/>
    <w:pPr>
      <w:spacing w:after="80" w:line="160" w:lineRule="exact"/>
    </w:pPr>
    <w:rPr>
      <w:b/>
      <w:sz w:val="1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Calibri" w:hAnsi="Segoe UI" w:cs="Segoe UI"/>
      <w:color w:val="515151"/>
      <w:sz w:val="18"/>
      <w:szCs w:val="18"/>
    </w:rPr>
  </w:style>
  <w:style w:type="paragraph" w:styleId="Revisione">
    <w:name w:val="Revision"/>
    <w:hidden/>
    <w:uiPriority w:val="99"/>
    <w:semiHidden/>
    <w:pPr>
      <w:spacing w:line="240" w:lineRule="auto"/>
    </w:pPr>
    <w:rPr>
      <w:rFonts w:ascii="DIN" w:eastAsia="Calibri" w:hAnsi="DIN" w:cs="Times New Roman"/>
      <w:color w:val="51515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5054</Characters>
  <Application>Microsoft Office Word</Application>
  <DocSecurity>0</DocSecurity>
  <Lines>58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Oberli</dc:creator>
  <cp:keywords/>
  <dc:description/>
  <cp:lastModifiedBy>U80819574</cp:lastModifiedBy>
  <cp:revision>45</cp:revision>
  <cp:lastPrinted>2015-03-04T15:01:00Z</cp:lastPrinted>
  <dcterms:created xsi:type="dcterms:W3CDTF">2015-03-02T16:20:00Z</dcterms:created>
  <dcterms:modified xsi:type="dcterms:W3CDTF">2015-05-06T11:22:00Z</dcterms:modified>
</cp:coreProperties>
</file>